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ind w:left="0" w:firstLine="0"/>
        <w:rPr>
          <w:u w:val="none"/>
        </w:rPr>
      </w:pPr>
      <w:bookmarkStart w:id="0" w:name="_GoBack"/>
      <w:bookmarkEnd w:id="0"/>
      <w:r>
        <w:rPr>
          <w:u w:val="none"/>
        </w:rPr>
        <w:t>INVOICE</w:t>
      </w:r>
    </w:p>
    <w:p>
      <w:pPr>
        <w:jc w:val="right"/>
        <w:rPr>
          <w:b/>
        </w:rPr>
      </w:pPr>
      <w:r>
        <w:rPr>
          <w:b/>
        </w:rPr>
        <w:t>Invoice No:</w:t>
      </w:r>
    </w:p>
    <w:p>
      <w:pPr>
        <w:jc w:val="center"/>
        <w:rPr>
          <w:b/>
        </w:rPr>
      </w:pPr>
      <w:r>
        <w:rPr>
          <w:b/>
        </w:rPr>
        <w:t>[CNT:Name][SYS:iif(clip(LCN:ClNameCon)='', '', ' and ' )][LCN:ClNameCon#01]</w:t>
      </w:r>
    </w:p>
    <w:p>
      <w:pPr>
        <w:jc w:val="center"/>
        <w:rPr>
          <w:b/>
        </w:rPr>
      </w:pPr>
      <w:r>
        <w:rPr>
          <w:b/>
        </w:rPr>
        <w:t>Executor in the Estate</w:t>
      </w:r>
    </w:p>
    <w:p>
      <w:pPr>
        <w:jc w:val="center"/>
        <w:rPr>
          <w:b/>
        </w:rPr>
      </w:pPr>
      <w:r>
        <w:rPr>
          <w:b/>
        </w:rPr>
        <w:t>To</w:t>
      </w:r>
    </w:p>
    <w:p>
      <w:pPr>
        <w:jc w:val="center"/>
        <w:rPr>
          <w:b/>
        </w:rPr>
      </w:pPr>
      <w:r>
        <w:rPr>
          <w:b/>
        </w:rPr>
        <w:t>[DIA:CompanyName]</w:t>
      </w:r>
    </w:p>
    <w:p>
      <w:pPr>
        <w:jc w:val="center"/>
        <w:rPr>
          <w:b/>
        </w:rPr>
      </w:pPr>
    </w:p>
    <w:p>
      <w:pPr>
        <w:pBdr>
          <w:bottom w:val="single" w:sz="12" w:space="1" w:color="auto"/>
        </w:pBdr>
        <w:jc w:val="center"/>
        <w:rPr>
          <w:b/>
        </w:rPr>
      </w:pPr>
      <w:r>
        <w:rPr>
          <w:b/>
        </w:rPr>
        <w:t>Re: The Estate of [CAN:Name.Deceased#01]</w:t>
      </w:r>
    </w:p>
    <w:p>
      <w:pPr>
        <w:rPr>
          <w:b/>
        </w:rPr>
      </w:pPr>
    </w:p>
    <w:p>
      <w:pPr>
        <w:ind w:right="4706"/>
        <w:jc w:val="both"/>
      </w:pPr>
      <w:r>
        <w:rPr>
          <w:b/>
        </w:rPr>
        <w:t xml:space="preserve">PROFESSIONAL FEES </w:t>
      </w:r>
      <w:r>
        <w:t>for all work done in relation to the administration of the Estate of [CAN:Name.Deceased#01] Deceased to include the following -</w:t>
      </w:r>
    </w:p>
    <w:p>
      <w:pPr>
        <w:ind w:right="4706"/>
        <w:jc w:val="both"/>
      </w:pPr>
    </w:p>
    <w:p>
      <w:pPr>
        <w:ind w:right="4706"/>
        <w:jc w:val="both"/>
      </w:pPr>
      <w:r>
        <w:t>Taking initial instructions from the Executors, correspondence to various financial institutions advising we act in the Estate and seeking balancing statements, letter to various utility companies advising we act in the Estate and to send future Invoices to us,</w:t>
      </w:r>
    </w:p>
    <w:p>
      <w:pPr>
        <w:ind w:right="4706"/>
        <w:jc w:val="both"/>
      </w:pPr>
    </w:p>
    <w:p>
      <w:pPr>
        <w:ind w:right="4706"/>
        <w:jc w:val="both"/>
      </w:pPr>
    </w:p>
    <w:p>
      <w:pPr>
        <w:ind w:right="4706"/>
        <w:jc w:val="both"/>
      </w:pPr>
      <w:r>
        <w:t>further correspondence to the beneficiaries updating them on the administration,</w:t>
      </w:r>
    </w:p>
    <w:p>
      <w:pPr>
        <w:ind w:right="4706"/>
        <w:jc w:val="both"/>
      </w:pPr>
    </w:p>
    <w:p>
      <w:pPr>
        <w:ind w:right="4706"/>
        <w:jc w:val="both"/>
      </w:pPr>
      <w:r>
        <w:t>correspondence to client identity services seeking PPS Number for the Deceased,</w:t>
      </w:r>
    </w:p>
    <w:p>
      <w:pPr>
        <w:ind w:right="4706"/>
        <w:jc w:val="both"/>
      </w:pPr>
    </w:p>
    <w:p>
      <w:pPr>
        <w:ind w:right="4706"/>
        <w:jc w:val="both"/>
      </w:pPr>
      <w:r>
        <w:t>correspondence to Social Welfare re arrears on pension, application for Bereavement Grant,</w:t>
      </w:r>
    </w:p>
    <w:p>
      <w:pPr>
        <w:ind w:right="4706"/>
        <w:jc w:val="both"/>
      </w:pPr>
    </w:p>
    <w:p>
      <w:pPr>
        <w:ind w:right="4706"/>
        <w:jc w:val="both"/>
      </w:pPr>
      <w:r>
        <w:t xml:space="preserve">correspondence with beneficiaries advising PPS numbers would need to be applied for, sending documentation for execution to all beneficiaries, receiving application forms and filing same with Department of Social Welfare in order to obtain PPS Numbers, receiving correspondence from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correspondence to [CAN:Name.Banks#??] seeking payment of Undertakers Invoice,</w:t>
      </w:r>
    </w:p>
    <w:p>
      <w:pPr>
        <w:ind w:right="4706"/>
        <w:jc w:val="both"/>
      </w:pPr>
    </w:p>
    <w:p>
      <w:pPr>
        <w:ind w:right="4706"/>
        <w:jc w:val="both"/>
      </w:pPr>
    </w:p>
    <w:p>
      <w:pPr>
        <w:ind w:right="4706"/>
        <w:jc w:val="both"/>
      </w:pPr>
      <w:r>
        <w:t xml:space="preserve">receiving monies from Social Welfare re arrears of pension, receiving bereavement grant, receiving monies from [CAN:Name.Banks#??] payable to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w:t>
      </w:r>
    </w:p>
    <w:p>
      <w:pPr>
        <w:ind w:right="4706"/>
        <w:jc w:val="both"/>
      </w:pPr>
    </w:p>
    <w:p>
      <w:pPr>
        <w:ind w:right="4706"/>
        <w:jc w:val="both"/>
      </w:pPr>
      <w:r>
        <w:t xml:space="preserve">preparing Inland Revenue Affidavit, Oath for Executor and attending on Executor to sign same, filing said documentation with the Probate Officer in order to apply for the Grant of Probate, receiving receipt from the Probate Officer advising our application has </w:t>
      </w:r>
      <w:r>
        <w:lastRenderedPageBreak/>
        <w:t>been successful and no further queries arise, filing letter of expedite in order to have the  matter pushed through as the property is now sale agreed, receiving Grant of Probate back from the Probate officer, issuing certified copies of same to various financial institutions, receiving monies</w:t>
      </w:r>
    </w:p>
    <w:p/>
    <w:p>
      <w:r>
        <w:t>For all the foregoing and for all advice’s,</w:t>
      </w:r>
    </w:p>
    <w:p>
      <w:pPr>
        <w:tabs>
          <w:tab w:val="decimal" w:pos="5760"/>
          <w:tab w:val="decimal" w:pos="8820"/>
        </w:tabs>
        <w:rPr>
          <w:b/>
        </w:rPr>
      </w:pPr>
      <w:r>
        <w:t>consultations and attendance’s  an inclusive fee of</w:t>
      </w:r>
      <w:r>
        <w:tab/>
      </w:r>
      <w:r>
        <w:tab/>
      </w:r>
      <w:r>
        <w:rPr>
          <w:b/>
        </w:rPr>
        <w:t>€</w:t>
      </w:r>
    </w:p>
    <w:p>
      <w:pPr>
        <w:tabs>
          <w:tab w:val="decimal" w:pos="5760"/>
          <w:tab w:val="decimal" w:pos="8820"/>
        </w:tabs>
        <w:rPr>
          <w:b/>
        </w:rPr>
      </w:pPr>
    </w:p>
    <w:p>
      <w:pPr>
        <w:tabs>
          <w:tab w:val="decimal" w:pos="5760"/>
          <w:tab w:val="decimal" w:pos="8820"/>
        </w:tabs>
        <w:rPr>
          <w:b/>
        </w:rPr>
      </w:pPr>
      <w:r>
        <w:t>V.A.T. @ 23%</w:t>
      </w:r>
      <w:r>
        <w:tab/>
      </w:r>
      <w:r>
        <w:tab/>
      </w:r>
      <w:r>
        <w:rPr>
          <w:b/>
        </w:rPr>
        <w:t>€</w:t>
      </w:r>
    </w:p>
    <w:p>
      <w:pPr>
        <w:tabs>
          <w:tab w:val="decimal" w:pos="5760"/>
          <w:tab w:val="decimal" w:pos="8820"/>
        </w:tabs>
        <w:rPr>
          <w:b/>
        </w:rPr>
      </w:pPr>
    </w:p>
    <w:p>
      <w:pPr>
        <w:jc w:val="center"/>
        <w:rPr>
          <w:b/>
          <w:u w:val="single"/>
        </w:rPr>
      </w:pPr>
      <w:r>
        <w:rPr>
          <w:b/>
          <w:u w:val="single"/>
        </w:rPr>
        <w:t>OUTLAY NOT SUBJECT TO VAT</w:t>
      </w:r>
    </w:p>
    <w:p>
      <w:pPr>
        <w:tabs>
          <w:tab w:val="decimal" w:pos="5760"/>
          <w:tab w:val="decimal" w:pos="8820"/>
        </w:tabs>
      </w:pPr>
      <w:r>
        <w:t xml:space="preserve">Probate Officer fees </w:t>
      </w:r>
      <w:r>
        <w:tab/>
        <w:t>€</w:t>
      </w:r>
    </w:p>
    <w:p>
      <w:pPr>
        <w:tabs>
          <w:tab w:val="decimal" w:pos="5760"/>
          <w:tab w:val="decimal" w:pos="8820"/>
        </w:tabs>
      </w:pPr>
      <w:r>
        <w:t>Lawlink re copy folio and map</w:t>
      </w:r>
      <w:r>
        <w:tab/>
        <w:t>€</w:t>
      </w:r>
    </w:p>
    <w:p>
      <w:pPr>
        <w:tabs>
          <w:tab w:val="decimal" w:pos="5760"/>
          <w:tab w:val="decimal" w:pos="8820"/>
        </w:tabs>
      </w:pPr>
      <w:r>
        <w:t>Commissioners fees.</w:t>
      </w:r>
      <w:r>
        <w:tab/>
        <w:t>€</w:t>
      </w:r>
      <w:r>
        <w:tab/>
      </w:r>
      <w:r>
        <w:rPr>
          <w:b/>
        </w:rPr>
        <w:t>€</w:t>
      </w:r>
    </w:p>
    <w:p>
      <w:pPr>
        <w:tabs>
          <w:tab w:val="decimal" w:pos="5760"/>
          <w:tab w:val="decimal" w:pos="8820"/>
        </w:tabs>
      </w:pPr>
    </w:p>
    <w:p>
      <w:pPr>
        <w:tabs>
          <w:tab w:val="decimal" w:pos="5760"/>
          <w:tab w:val="decimal" w:pos="8820"/>
        </w:tabs>
        <w:rPr>
          <w:b/>
          <w:u w:val="single"/>
        </w:rPr>
      </w:pPr>
      <w:r>
        <w:rPr>
          <w:b/>
        </w:rPr>
        <w:t>Total:</w:t>
      </w:r>
      <w:r>
        <w:rPr>
          <w:b/>
        </w:rPr>
        <w:tab/>
      </w:r>
      <w:r>
        <w:rPr>
          <w:b/>
        </w:rPr>
        <w:tab/>
      </w:r>
      <w:r>
        <w:rPr>
          <w:b/>
          <w:u w:val="single"/>
        </w:rPr>
        <w:t>€</w:t>
      </w:r>
    </w:p>
    <w:p>
      <w:pPr>
        <w:tabs>
          <w:tab w:val="decimal" w:pos="5760"/>
          <w:tab w:val="decimal" w:pos="8820"/>
        </w:tabs>
        <w:rPr>
          <w:b/>
        </w:rPr>
      </w:pPr>
    </w:p>
    <w:p>
      <w:pPr>
        <w:tabs>
          <w:tab w:val="decimal" w:pos="5760"/>
          <w:tab w:val="decimal" w:pos="8820"/>
        </w:tabs>
        <w:rPr>
          <w:b/>
        </w:rPr>
      </w:pPr>
      <w:r>
        <w:rPr>
          <w:b/>
        </w:rPr>
        <w:t xml:space="preserve">Dated this </w:t>
      </w:r>
      <w:r>
        <w:rPr>
          <w:b/>
        </w:rPr>
        <w:t> </w:t>
      </w:r>
      <w:r>
        <w:rPr>
          <w:b/>
        </w:rPr>
        <w:t xml:space="preserve"> day of </w:t>
      </w:r>
      <w:r>
        <w:rPr>
          <w:b/>
        </w:rPr>
        <w:t> </w:t>
      </w:r>
      <w:r>
        <w:rPr>
          <w:b/>
        </w:rPr>
        <w:t> </w:t>
      </w:r>
      <w:r>
        <w:rPr>
          <w:b/>
        </w:rPr>
        <w:t> </w:t>
      </w:r>
      <w:r>
        <w:rPr>
          <w:b/>
        </w:rPr>
        <w:t> </w:t>
      </w:r>
      <w:r>
        <w:rPr>
          <w:b/>
        </w:rPr>
        <w:t> </w:t>
      </w:r>
      <w:r>
        <w:rPr>
          <w:b/>
        </w:rPr>
        <w:t> </w:t>
      </w:r>
      <w:r>
        <w:rPr>
          <w:b/>
        </w:rPr>
        <w:t> </w:t>
      </w:r>
      <w:r>
        <w:rPr>
          <w:b/>
        </w:rPr>
        <w:t> </w:t>
      </w:r>
      <w:r>
        <w:rPr>
          <w:b/>
        </w:rPr>
        <w:t xml:space="preserve"> [DIA:ThisYear]</w:t>
      </w:r>
    </w:p>
    <w:p>
      <w:pPr>
        <w:rPr>
          <w:b/>
        </w:rPr>
      </w:pPr>
    </w:p>
    <w:p>
      <w:pPr>
        <w:rPr>
          <w:b/>
        </w:rPr>
      </w:pPr>
      <w:r>
        <w:rPr>
          <w:b/>
        </w:rPr>
        <w:t>Signed______________________________</w:t>
      </w:r>
    </w:p>
    <w:p>
      <w:pPr>
        <w:rPr>
          <w:b/>
        </w:rPr>
      </w:pPr>
      <w:r>
        <w:rPr>
          <w:b/>
        </w:rPr>
        <w:t>[DIA:CompanyName]</w:t>
      </w:r>
    </w:p>
    <w:p>
      <w:pPr>
        <w:rPr>
          <w:b/>
        </w:rPr>
      </w:pPr>
      <w:r>
        <w:rPr>
          <w:b/>
        </w:rPr>
        <w:t>Solicitors</w:t>
      </w:r>
    </w:p>
    <w:p>
      <w:pPr>
        <w:rPr>
          <w:b/>
        </w:rPr>
      </w:pPr>
      <w:r>
        <w:rPr>
          <w:b/>
        </w:rPr>
        <w:t>[DIA:Address]</w:t>
      </w:r>
    </w:p>
    <w:p>
      <w:pPr>
        <w:rPr>
          <w:b/>
        </w:rPr>
      </w:pPr>
    </w:p>
    <w:p>
      <w:pPr>
        <w:rPr>
          <w:b/>
          <w:sz w:val="20"/>
        </w:rPr>
      </w:pPr>
      <w:r>
        <w:rPr>
          <w:b/>
          <w:sz w:val="20"/>
        </w:rPr>
        <w:t xml:space="preserve">VAT No: </w:t>
      </w:r>
    </w:p>
    <w:p>
      <w:pPr>
        <w:jc w:val="both"/>
        <w:rPr>
          <w:b/>
          <w:sz w:val="20"/>
        </w:rPr>
      </w:pPr>
      <w:r>
        <w:rPr>
          <w:b/>
          <w:sz w:val="20"/>
        </w:rPr>
        <w:t>REF: [MAT:Code]/[MAT:FeCode]</w:t>
      </w:r>
    </w:p>
    <w:p>
      <w:pPr>
        <w:jc w:val="both"/>
      </w:pPr>
    </w:p>
    <w:p>
      <w:r>
        <w:t>TO: [CNT:Name]</w:t>
      </w:r>
    </w:p>
    <w:p>
      <w:pPr>
        <w:ind w:left="425"/>
      </w:pPr>
      <w:r>
        <w:t>[CNT:Address]</w:t>
      </w:r>
    </w:p>
    <w:p>
      <w:r>
        <w:t>[SYS:iif(LCN:ClNameCon='', '', 'and' )]</w:t>
      </w:r>
    </w:p>
    <w:p>
      <w:pPr>
        <w:ind w:left="425"/>
      </w:pPr>
      <w:r>
        <w:t>[LCN:ClNameCon#01]</w:t>
      </w:r>
    </w:p>
    <w:p>
      <w:pPr>
        <w:ind w:left="425"/>
      </w:pPr>
      <w:r>
        <w:t>[LCN:Address#01]</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E236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326F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C68B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0254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92D59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DC2D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CAFF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D01B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623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3676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6FD3C19"/>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75F32"/>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9666BE"/>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3F789E-AF77-4D19-BA6C-95D15736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eastAsia="en-US"/>
    </w:rPr>
  </w:style>
  <w:style w:type="paragraph" w:styleId="Heading1">
    <w:name w:val="heading 1"/>
    <w:basedOn w:val="Normal"/>
    <w:next w:val="Normal"/>
    <w:qFormat/>
    <w:pPr>
      <w:keepNext/>
      <w:numPr>
        <w:numId w:val="3"/>
      </w:numPr>
      <w:outlineLvl w:val="0"/>
    </w:pPr>
    <w:rPr>
      <w:b/>
    </w:rPr>
  </w:style>
  <w:style w:type="paragraph" w:styleId="Heading2">
    <w:name w:val="heading 2"/>
    <w:basedOn w:val="Normal"/>
    <w:next w:val="Normal"/>
    <w:qFormat/>
    <w:pPr>
      <w:keepNext/>
      <w:numPr>
        <w:ilvl w:val="1"/>
        <w:numId w:val="3"/>
      </w:numPr>
      <w:outlineLvl w:val="1"/>
    </w:pPr>
    <w:rPr>
      <w:b/>
      <w:u w:val="single"/>
    </w:rPr>
  </w:style>
  <w:style w:type="paragraph" w:styleId="Heading3">
    <w:name w:val="heading 3"/>
    <w:basedOn w:val="Normal"/>
    <w:next w:val="Normal"/>
    <w:qFormat/>
    <w:pPr>
      <w:keepNext/>
      <w:numPr>
        <w:ilvl w:val="2"/>
        <w:numId w:val="3"/>
      </w:numPr>
      <w:jc w:val="center"/>
      <w:outlineLvl w:val="2"/>
    </w:pPr>
    <w:rPr>
      <w:b/>
    </w:rPr>
  </w:style>
  <w:style w:type="paragraph" w:styleId="Heading4">
    <w:name w:val="heading 4"/>
    <w:basedOn w:val="Normal"/>
    <w:next w:val="Normal"/>
    <w:qFormat/>
    <w:pPr>
      <w:keepNext/>
      <w:numPr>
        <w:ilvl w:val="3"/>
        <w:numId w:val="3"/>
      </w:numPr>
      <w:outlineLvl w:val="3"/>
    </w:pPr>
    <w:rPr>
      <w:b/>
      <w:sz w:val="20"/>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rPr>
      <w:rFonts w:ascii="Calibri" w:hAnsi="Calibri"/>
      <w:szCs w:val="24"/>
    </w:r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rFonts w:ascii="Calibri" w:hAnsi="Calibri"/>
      <w:i/>
      <w:iCs/>
      <w:szCs w:val="24"/>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2880" w:firstLine="720"/>
      <w:jc w:val="center"/>
    </w:pPr>
    <w:rPr>
      <w:b/>
      <w:u w:val="single"/>
    </w:rPr>
  </w:style>
  <w:style w:type="paragraph" w:styleId="BodyText">
    <w:name w:val="Body Text"/>
    <w:basedOn w:val="Normal"/>
    <w:link w:val="BodyTextChar"/>
    <w:semiHidden/>
    <w:pPr>
      <w:tabs>
        <w:tab w:val="decimal" w:pos="5760"/>
        <w:tab w:val="decimal" w:pos="8820"/>
      </w:tabs>
    </w:pPr>
    <w:rPr>
      <w:b/>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Pr>
      <w:rFonts w:ascii="Cambria" w:eastAsia="Times New Roman" w:hAnsi="Cambria" w:cs="Times New Roman"/>
      <w:sz w:val="22"/>
      <w:szCs w:val="22"/>
      <w:lang w:val="en-GB"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z w:val="24"/>
      <w:lang w:val="en-GB"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sz w:val="16"/>
      <w:szCs w:val="16"/>
      <w:lang w:val="en-GB" w:eastAsia="en-US"/>
    </w:rPr>
  </w:style>
  <w:style w:type="paragraph" w:styleId="BodyTextFirstIndent">
    <w:name w:val="Body Text First Indent"/>
    <w:basedOn w:val="BodyText"/>
    <w:link w:val="BodyTextFirstIndentChar"/>
    <w:uiPriority w:val="99"/>
    <w:semiHidden/>
    <w:unhideWhenUsed/>
    <w:pPr>
      <w:tabs>
        <w:tab w:val="clear" w:pos="5760"/>
        <w:tab w:val="clear" w:pos="8820"/>
      </w:tabs>
      <w:spacing w:after="120"/>
      <w:ind w:firstLine="210"/>
    </w:pPr>
    <w:rPr>
      <w:b w:val="0"/>
    </w:rPr>
  </w:style>
  <w:style w:type="character" w:customStyle="1" w:styleId="BodyTextChar">
    <w:name w:val="Body Text Char"/>
    <w:link w:val="BodyText"/>
    <w:semiHidden/>
    <w:rPr>
      <w:b/>
      <w:sz w:val="24"/>
      <w:lang w:val="en-GB" w:eastAsia="en-US"/>
    </w:rPr>
  </w:style>
  <w:style w:type="character" w:customStyle="1" w:styleId="BodyTextFirstIndentChar">
    <w:name w:val="Body Text First Indent Char"/>
    <w:link w:val="BodyTextFirstIndent"/>
    <w:uiPriority w:val="99"/>
    <w:semiHidden/>
    <w:rPr>
      <w:b w:val="0"/>
      <w:sz w:val="24"/>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4"/>
      <w:lang w:val="en-GB"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basedOn w:val="BodyTextIndentChar"/>
    <w:link w:val="BodyTextFirstIndent2"/>
    <w:uiPriority w:val="99"/>
    <w:semiHidden/>
    <w:rPr>
      <w:sz w:val="24"/>
      <w:lang w:val="en-GB"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4"/>
      <w:lang w:val="en-GB"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uiPriority w:val="35"/>
    <w:semiHidden/>
    <w:unhideWhenUsed/>
    <w:qFormat/>
    <w:rPr>
      <w:b/>
      <w:bCs/>
      <w:sz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z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link w:val="CommentText"/>
    <w:uiPriority w:val="99"/>
    <w:semiHidden/>
    <w:rPr>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z w:val="24"/>
      <w:lang w:val="en-GB" w:eastAsia="en-US"/>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link w:val="DocumentMap"/>
    <w:uiPriority w:val="99"/>
    <w:semiHidden/>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z w:val="24"/>
      <w:lang w:val="en-GB" w:eastAsia="en-US"/>
    </w:rPr>
  </w:style>
  <w:style w:type="character" w:styleId="Emphasis">
    <w:name w:val="Emphasis"/>
    <w:uiPriority w:val="20"/>
    <w:qFormat/>
    <w:rPr>
      <w:i/>
      <w:iCs/>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semiHidden/>
    <w:rPr>
      <w:lang w:val="en-GB" w:eastAsia="en-US"/>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mbria" w:hAnsi="Cambria"/>
      <w:szCs w:val="24"/>
    </w:rPr>
  </w:style>
  <w:style w:type="paragraph" w:styleId="EnvelopeReturn">
    <w:name w:val="envelope return"/>
    <w:basedOn w:val="Normal"/>
    <w:uiPriority w:val="99"/>
    <w:semiHidden/>
    <w:unhideWhenUsed/>
    <w:rPr>
      <w:rFonts w:ascii="Cambria" w:hAnsi="Cambria"/>
      <w:sz w:val="20"/>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semiHidden/>
    <w:unhideWhenUsed/>
    <w:pPr>
      <w:tabs>
        <w:tab w:val="center" w:pos="4513"/>
        <w:tab w:val="right" w:pos="9026"/>
      </w:tabs>
    </w:pPr>
  </w:style>
  <w:style w:type="character" w:customStyle="1" w:styleId="FooterChar">
    <w:name w:val="Footer Char"/>
    <w:link w:val="Footer"/>
    <w:uiPriority w:val="99"/>
    <w:semiHidden/>
    <w:rPr>
      <w:sz w:val="24"/>
      <w:lang w:val="en-GB" w:eastAsia="en-US"/>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rPr>
  </w:style>
  <w:style w:type="character" w:customStyle="1" w:styleId="FootnoteTextChar">
    <w:name w:val="Footnote Text Char"/>
    <w:link w:val="FootnoteText"/>
    <w:uiPriority w:val="99"/>
    <w:semiHidden/>
    <w:rPr>
      <w:lang w:val="en-GB" w:eastAsia="en-US"/>
    </w:rPr>
  </w:style>
  <w:style w:type="paragraph" w:styleId="Header">
    <w:name w:val="header"/>
    <w:basedOn w:val="Normal"/>
    <w:link w:val="HeaderChar"/>
    <w:uiPriority w:val="99"/>
    <w:semiHidden/>
    <w:unhideWhenUsed/>
    <w:pPr>
      <w:tabs>
        <w:tab w:val="center" w:pos="4513"/>
        <w:tab w:val="right" w:pos="9026"/>
      </w:tabs>
    </w:pPr>
  </w:style>
  <w:style w:type="character" w:customStyle="1" w:styleId="HeaderChar">
    <w:name w:val="Header Char"/>
    <w:link w:val="Header"/>
    <w:uiPriority w:val="99"/>
    <w:semiHidden/>
    <w:rPr>
      <w:sz w:val="24"/>
      <w:lang w:val="en-GB"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z w:val="24"/>
      <w:lang w:val="en-GB" w:eastAsia="en-US"/>
    </w:rPr>
  </w:style>
  <w:style w:type="character" w:styleId="HTMLCite">
    <w:name w:val="HTML Cite"/>
    <w:uiPriority w:val="99"/>
    <w:semiHidden/>
    <w:unhideWhenUsed/>
    <w:rPr>
      <w:i/>
      <w:iCs/>
    </w:rPr>
  </w:style>
  <w:style w:type="character" w:styleId="HTMLCode">
    <w:name w:val="HTML Code"/>
    <w:uiPriority w:val="99"/>
    <w:semiHidden/>
    <w:unhideWhenUsed/>
    <w:rPr>
      <w:rFonts w:ascii="Courier New" w:hAnsi="Courier New" w:cs="Courier New"/>
      <w:sz w:val="20"/>
      <w:szCs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urier New" w:hAnsi="Courier New" w:cs="Courier New"/>
      <w:sz w:val="20"/>
      <w:szCs w:val="20"/>
    </w:rPr>
  </w:style>
  <w:style w:type="paragraph" w:styleId="HTMLPreformatted">
    <w:name w:val="HTML Preformatted"/>
    <w:basedOn w:val="Normal"/>
    <w:link w:val="HTMLPreformattedChar"/>
    <w:uiPriority w:val="99"/>
    <w:semiHidden/>
    <w:unhideWhenUsed/>
    <w:rPr>
      <w:rFonts w:ascii="Courier New" w:hAnsi="Courier New" w:cs="Courier New"/>
      <w:sz w:val="20"/>
    </w:rPr>
  </w:style>
  <w:style w:type="character" w:customStyle="1" w:styleId="HTMLPreformattedChar">
    <w:name w:val="HTML Preformatted Char"/>
    <w:link w:val="HTMLPreformatted"/>
    <w:uiPriority w:val="99"/>
    <w:semiHidden/>
    <w:rPr>
      <w:rFonts w:ascii="Courier New" w:hAnsi="Courier New" w:cs="Courier New"/>
      <w:lang w:val="en-GB" w:eastAsia="en-US"/>
    </w:rPr>
  </w:style>
  <w:style w:type="character" w:styleId="HTMLSample">
    <w:name w:val="HTML Sample"/>
    <w:uiPriority w:val="99"/>
    <w:semiHidden/>
    <w:unhideWhenUsed/>
    <w:rPr>
      <w:rFonts w:ascii="Courier New" w:hAnsi="Courier New" w:cs="Courier New"/>
    </w:rPr>
  </w:style>
  <w:style w:type="character" w:styleId="HTMLTypewriter">
    <w:name w:val="HTML Typewriter"/>
    <w:uiPriority w:val="99"/>
    <w:semiHidden/>
    <w:unhideWhenUsed/>
    <w:rPr>
      <w:rFonts w:ascii="Courier New" w:hAnsi="Courier New" w:cs="Courier New"/>
      <w:sz w:val="20"/>
      <w:szCs w:val="20"/>
    </w:rPr>
  </w:style>
  <w:style w:type="character" w:styleId="HTMLVariable">
    <w:name w:val="HTML Variable"/>
    <w:uiPriority w:val="99"/>
    <w:semiHidden/>
    <w:unhideWhenUsed/>
    <w:rPr>
      <w:i/>
      <w:iCs/>
    </w:rPr>
  </w:style>
  <w:style w:type="character" w:styleId="Hyperlink">
    <w:name w:val="Hyperlink"/>
    <w:uiPriority w:val="99"/>
    <w:semiHidden/>
    <w:unhideWhenUsed/>
    <w:rPr>
      <w:color w:val="0000FF"/>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uiPriority w:val="99"/>
    <w:semiHidden/>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24"/>
    </w:rPr>
  </w:style>
  <w:style w:type="character" w:customStyle="1" w:styleId="MessageHeaderChar">
    <w:name w:val="Message Header Char"/>
    <w:link w:val="MessageHeader"/>
    <w:uiPriority w:val="99"/>
    <w:semiHidden/>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lang w:val="en-GB"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z w:val="24"/>
      <w:lang w:val="en-GB" w:eastAsia="en-US"/>
    </w:rPr>
  </w:style>
  <w:style w:type="character" w:styleId="PageNumber">
    <w:name w:val="page number"/>
    <w:uiPriority w:val="99"/>
    <w:semiHidden/>
    <w:unhideWhenUsed/>
  </w:style>
  <w:style w:type="character" w:styleId="PlaceholderText">
    <w:name w:val="Placeholder Text"/>
    <w:uiPriority w:val="99"/>
    <w:semiHidden/>
    <w:rPr>
      <w:color w:val="808080"/>
    </w:rPr>
  </w:style>
  <w:style w:type="paragraph" w:styleId="PlainText">
    <w:name w:val="Plain Text"/>
    <w:basedOn w:val="Normal"/>
    <w:link w:val="PlainTextChar"/>
    <w:uiPriority w:val="99"/>
    <w:semiHidden/>
    <w:unhideWhenUsed/>
    <w:rPr>
      <w:rFonts w:ascii="Courier New" w:hAnsi="Courier New" w:cs="Courier New"/>
      <w:sz w:val="20"/>
    </w:rPr>
  </w:style>
  <w:style w:type="character" w:customStyle="1" w:styleId="PlainTextChar">
    <w:name w:val="Plain Text Char"/>
    <w:link w:val="PlainText"/>
    <w:uiPriority w:val="99"/>
    <w:semiHidden/>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lang w:val="en-GB"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z w:val="24"/>
      <w:lang w:val="en-GB"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z w:val="24"/>
      <w:lang w:val="en-GB"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szCs w:val="24"/>
    </w:rPr>
  </w:style>
  <w:style w:type="character" w:customStyle="1" w:styleId="SubtitleChar">
    <w:name w:val="Subtitle Char"/>
    <w:link w:val="Subtitle"/>
    <w:uiPriority w:val="11"/>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pPr>
      <w:spacing w:before="120"/>
    </w:pPr>
    <w:rPr>
      <w:rFonts w:ascii="Cambria" w:hAnsi="Cambria"/>
      <w:b/>
      <w:bCs/>
      <w:szCs w:val="24"/>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spacing w:before="240" w:after="60"/>
      <w:outlineLvl w:val="9"/>
    </w:pPr>
    <w:rPr>
      <w:rFonts w:ascii="Cambria" w:hAnsi="Cambria"/>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INVOICE</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John Bourke</dc:creator>
  <cp:keywords/>
  <cp:lastModifiedBy>Art Kavanagh</cp:lastModifiedBy>
  <cp:revision>10</cp:revision>
  <cp:lastPrinted>2013-08-14T09:15:00Z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155612</vt:lpwstr>
  </property>
  <property fmtid="{D5CDD505-2E9C-101B-9397-08002B2CF9AE}" pid="3" name="KeyhouseMatterReference">
    <vt:lpwstr>PHE008/0001</vt:lpwstr>
  </property>
</Properties>
</file>